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p14">
  <w:body>
    <w:p w:rsidRPr="004C6EEE" w:rsidR="0074696E" w:rsidP="00AD784C" w:rsidRDefault="00EA3010" w14:paraId="69A95267" w14:textId="77777777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417D21E">
        <w:rPr/>
        <w:t/>
      </w:r>
      <w:r w:rsidR="2B4A8BAE">
        <w:rPr/>
        <w:t/>
      </w:r>
      <w:r w:rsidR="1F31A2E8">
        <w:rPr/>
        <w:t/>
      </w:r>
    </w:p>
    <w:p w:rsidRPr="004C6EEE" w:rsidR="00A62D44" w:rsidP="004C6EEE" w:rsidRDefault="00A62D44" w14:paraId="1FCB37AD" w14:textId="77777777">
      <w:pPr>
        <w:pStyle w:val="Sectionbreakfirstpage"/>
        <w:sectPr w:rsidRPr="004C6EEE" w:rsidR="00A62D44" w:rsidSect="00F304E7">
          <w:footerReference w:type="default" r:id="rId12"/>
          <w:footerReference w:type="first" r:id="rId13"/>
          <w:pgSz w:w="11906" w:h="16838" w:orient="portrait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:rsidTr="006A1C8E" w14:paraId="3B696C8F" w14:textId="77777777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:rsidRPr="00D14BB6" w:rsidR="00AD784C" w:rsidP="00F7415F" w:rsidRDefault="00B21610" w14:paraId="52239DCC" w14:textId="52C391C6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:rsidTr="006A1C8E" w14:paraId="187772EA" w14:textId="77777777">
        <w:trPr>
          <w:trHeight w:val="836" w:hRule="exact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:rsidRPr="00AD784C" w:rsidR="00BC4C09" w:rsidP="004F5FDF" w:rsidRDefault="00BC4C09" w14:paraId="56766E6F" w14:textId="33BC4880">
            <w:pPr>
              <w:pStyle w:val="DHHSmainsubheading"/>
            </w:pPr>
          </w:p>
        </w:tc>
      </w:tr>
    </w:tbl>
    <w:p w:rsidRPr="00FE2779" w:rsidR="00FE2779" w:rsidP="35C6CFB3" w:rsidRDefault="35C6CFB3" w14:paraId="355FAB0F" w14:textId="52DBF0B7">
      <w:pPr>
        <w:pStyle w:val="DHHSbody"/>
        <w:pBdr>
          <w:top w:val="single" w:color="FFFFFF" w:themeColor="background1" w:sz="4" w:space="1"/>
          <w:left w:val="single" w:color="FFFFFF" w:themeColor="background1" w:sz="4" w:space="4"/>
          <w:bottom w:val="single" w:color="FFFFFF" w:themeColor="background1" w:sz="4" w:space="1"/>
          <w:right w:val="single" w:color="FFFFFF" w:themeColor="background1" w:sz="4" w:space="0"/>
        </w:pBdr>
        <w:rPr>
          <w:rStyle w:val="Hyperlink"/>
          <w:b/>
          <w:bCs/>
          <w:color w:val="201547"/>
          <w:u w:val="none"/>
        </w:rPr>
      </w:pPr>
      <w:r w:rsidRPr="35C6CFB3">
        <w:rPr>
          <w:rStyle w:val="Hyperlink"/>
          <w:b/>
          <w:bCs/>
          <w:color w:val="201547"/>
          <w:u w:val="none"/>
        </w:rPr>
        <w:t>Our COVID Safe Plan</w:t>
      </w:r>
    </w:p>
    <w:p w:rsidR="4417D21E" w:rsidP="4417D21E" w:rsidRDefault="4417D21E" w14:paraId="43DC549C" w14:textId="05351B31">
      <w:pPr>
        <w:pStyle w:val="DHHSbody"/>
        <w:bidi w:val="0"/>
        <w:spacing w:before="0" w:beforeAutospacing="off" w:after="120" w:afterAutospacing="off"/>
        <w:ind w:left="0" w:right="0"/>
        <w:jc w:val="left"/>
        <w:rPr>
          <w:rStyle w:val="Hyperlink"/>
          <w:color w:val="201547"/>
          <w:u w:val="none"/>
        </w:rPr>
      </w:pPr>
      <w:r w:rsidRPr="1F31A2E8" w:rsidR="1F31A2E8">
        <w:rPr>
          <w:rStyle w:val="Hyperlink"/>
          <w:color w:val="201547"/>
          <w:u w:val="none"/>
        </w:rPr>
        <w:t>Business name:</w:t>
      </w:r>
      <w:r>
        <w:tab/>
      </w:r>
      <w:r w:rsidRPr="1F31A2E8" w:rsidR="1F31A2E8">
        <w:rPr>
          <w:rStyle w:val="Hyperlink"/>
          <w:color w:val="201547"/>
          <w:u w:val="none"/>
        </w:rPr>
        <w:t>BIKECORP</w:t>
      </w:r>
    </w:p>
    <w:p w:rsidR="35C6CFB3" w:rsidP="4417D21E" w:rsidRDefault="35C6CFB3" w14:paraId="7651C302" w14:textId="2B57818E">
      <w:pPr>
        <w:pStyle w:val="DHHSbody"/>
        <w:bidi w:val="0"/>
        <w:spacing w:before="0" w:beforeAutospacing="off" w:after="120" w:afterAutospacing="off"/>
        <w:ind w:left="0" w:right="0"/>
        <w:jc w:val="left"/>
        <w:rPr>
          <w:rStyle w:val="Hyperlink"/>
          <w:color w:val="201547"/>
          <w:u w:val="none"/>
        </w:rPr>
      </w:pPr>
      <w:r w:rsidRPr="1F31A2E8" w:rsidR="1F31A2E8">
        <w:rPr>
          <w:rStyle w:val="Hyperlink"/>
          <w:color w:val="201547"/>
          <w:u w:val="none"/>
        </w:rPr>
        <w:t>Site location: 43 REDWOOD DRIVE DINGLEY VILLAGE 3172</w:t>
      </w:r>
      <w:r>
        <w:tab/>
      </w:r>
      <w:r>
        <w:tab/>
      </w:r>
    </w:p>
    <w:p w:rsidRPr="00254271" w:rsidR="00DE50D6" w:rsidP="4417D21E" w:rsidRDefault="35C6CFB3" w14:paraId="73074635" w14:textId="2EF3404A">
      <w:pPr>
        <w:pStyle w:val="DHHSbody"/>
        <w:bidi w:val="0"/>
        <w:spacing w:before="0" w:beforeAutospacing="off" w:after="120" w:afterAutospacing="off"/>
        <w:ind w:left="0" w:right="0"/>
        <w:jc w:val="left"/>
        <w:rPr>
          <w:rStyle w:val="Hyperlink"/>
          <w:color w:val="201547"/>
          <w:u w:val="none"/>
        </w:rPr>
      </w:pPr>
      <w:r w:rsidRPr="1F31A2E8" w:rsidR="1F31A2E8">
        <w:rPr>
          <w:rStyle w:val="Hyperlink"/>
          <w:color w:val="201547"/>
          <w:u w:val="none"/>
        </w:rPr>
        <w:t>Contact person phone: JOHN DUNNACHIE 0413434774</w:t>
      </w:r>
      <w:r>
        <w:tab/>
      </w:r>
      <w:r w:rsidRPr="1F31A2E8" w:rsidR="1F31A2E8">
        <w:rPr>
          <w:rStyle w:val="Hyperlink"/>
          <w:color w:val="201547"/>
          <w:u w:val="none"/>
        </w:rPr>
        <w:t xml:space="preserve"> </w:t>
      </w:r>
      <w:r>
        <w:tab/>
      </w:r>
    </w:p>
    <w:p w:rsidRPr="00254271" w:rsidR="00DE50D6" w:rsidP="4417D21E" w:rsidRDefault="35C6CFB3" w14:paraId="2272782C" w14:textId="107EC37D">
      <w:pPr>
        <w:pStyle w:val="DHHSbody"/>
        <w:bidi w:val="0"/>
        <w:spacing w:before="0" w:beforeAutospacing="off" w:after="120" w:afterAutospacing="off"/>
        <w:ind w:left="0" w:right="0"/>
        <w:jc w:val="left"/>
        <w:rPr>
          <w:rStyle w:val="Hyperlink"/>
          <w:color w:val="201547"/>
          <w:u w:val="none"/>
        </w:rPr>
      </w:pPr>
      <w:r w:rsidRPr="4417D21E" w:rsidR="4417D21E">
        <w:rPr>
          <w:rStyle w:val="Hyperlink"/>
          <w:color w:val="201547"/>
          <w:u w:val="none"/>
        </w:rPr>
        <w:t xml:space="preserve">Date prepared: </w:t>
      </w:r>
      <w:r>
        <w:tab/>
      </w:r>
      <w:r>
        <w:tab/>
      </w:r>
      <w:r>
        <w:tab/>
      </w:r>
      <w:r w:rsidRPr="4417D21E" w:rsidR="4417D21E">
        <w:rPr>
          <w:rStyle w:val="Hyperlink"/>
          <w:color w:val="201547"/>
          <w:u w:val="none"/>
        </w:rPr>
        <w:t>05/08/2020</w:t>
      </w:r>
    </w:p>
    <w:p w:rsidR="00AC3514" w:rsidRDefault="00AC3514" w14:paraId="3B465F11" w14:textId="4D0C9B20">
      <w:pPr>
        <w:rPr>
          <w:rStyle w:val="Hyperlink"/>
          <w:rFonts w:ascii="Arial" w:hAnsi="Arial" w:eastAsia="Times" w:cs="Times New Roman"/>
          <w:sz w:val="20"/>
          <w:szCs w:val="20"/>
          <w:lang w:eastAsia="en-US"/>
        </w:rPr>
      </w:pPr>
    </w:p>
    <w:p w:rsidR="00F304E7" w:rsidRDefault="00F304E7" w14:paraId="77A7FDAD" w14:textId="77777777">
      <w:pPr>
        <w:rPr>
          <w:rStyle w:val="Hyperlink"/>
          <w:rFonts w:ascii="Arial" w:hAnsi="Arial" w:eastAsia="Times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Pr="00735AA4" w:rsidR="00B17DDD" w:rsidTr="1F31A2E8" w14:paraId="27BAEF9F" w14:textId="77777777">
        <w:trPr>
          <w:trHeight w:val="352"/>
          <w:tblHeader/>
        </w:trPr>
        <w:tc>
          <w:tcPr>
            <w:tcW w:w="3495" w:type="dxa"/>
            <w:shd w:val="clear" w:color="auto" w:fill="201547"/>
            <w:tcMar/>
          </w:tcPr>
          <w:p w:rsidRPr="00735AA4" w:rsidR="00ED1636" w:rsidP="00860811" w:rsidRDefault="00FE2779" w14:paraId="116FDDE6" w14:textId="247DD156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color="auto" w:sz="4" w:space="0"/>
            </w:tcBorders>
            <w:shd w:val="clear" w:color="auto" w:fill="201547"/>
            <w:tcMar/>
          </w:tcPr>
          <w:p w:rsidRPr="00735AA4" w:rsidR="00ED1636" w:rsidP="00833564" w:rsidRDefault="00FE2779" w14:paraId="0BA0827F" w14:textId="0C052F43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Pr="001726E1" w:rsidR="00ED1636" w:rsidTr="1F31A2E8" w14:paraId="61BC3033" w14:textId="77777777">
        <w:trPr>
          <w:trHeight w:val="275"/>
        </w:trPr>
        <w:tc>
          <w:tcPr>
            <w:tcW w:w="10271" w:type="dxa"/>
            <w:gridSpan w:val="2"/>
            <w:shd w:val="clear" w:color="auto" w:fill="E6E2F6"/>
            <w:tcMar/>
            <w:vAlign w:val="center"/>
          </w:tcPr>
          <w:p w:rsidRPr="00ED1636" w:rsidR="00ED1636" w:rsidP="00ED1636" w:rsidRDefault="00FE2779" w14:paraId="4230B5D3" w14:textId="487430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Pr="001726E1" w:rsidR="00254271" w:rsidTr="1F31A2E8" w14:paraId="3AF50633" w14:textId="77777777">
        <w:trPr>
          <w:trHeight w:val="2136"/>
        </w:trPr>
        <w:tc>
          <w:tcPr>
            <w:tcW w:w="3495" w:type="dxa"/>
            <w:tcMar/>
            <w:vAlign w:val="center"/>
          </w:tcPr>
          <w:p w:rsidRPr="007360F9" w:rsidR="00FE2779" w:rsidP="007360F9" w:rsidRDefault="00FE2779" w14:paraId="6A1636E3" w14:textId="2EC0032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tcMar/>
            <w:vAlign w:val="center"/>
          </w:tcPr>
          <w:p w:rsidRPr="006F157F" w:rsidR="00180700" w:rsidP="35C6CFB3" w:rsidRDefault="35C6CFB3" w14:paraId="34BC682B" w14:textId="5A10118C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2B4A8BAE" w:rsidR="2B4A8BAE">
              <w:rPr>
                <w:rFonts w:ascii="Arial" w:hAnsi="Arial" w:cs="Arial"/>
                <w:color w:val="auto"/>
              </w:rPr>
              <w:t>Hand sanitiser provided in workshop, at register and upon entry, liquid soap and paper towels provided.</w:t>
            </w:r>
          </w:p>
        </w:tc>
      </w:tr>
      <w:tr w:rsidR="00254271" w:rsidTr="1F31A2E8" w14:paraId="6EB4EC65" w14:textId="77777777">
        <w:trPr>
          <w:trHeight w:val="2136"/>
        </w:trPr>
        <w:tc>
          <w:tcPr>
            <w:tcW w:w="3495" w:type="dxa"/>
            <w:tcMar/>
            <w:vAlign w:val="center"/>
          </w:tcPr>
          <w:p w:rsidRPr="007360F9" w:rsidR="00B17DDD" w:rsidP="007360F9" w:rsidRDefault="00B17DDD" w14:paraId="23F9BBE0" w14:textId="2A68EF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Pr="00BF2465" w:rsidR="00254271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tcMar/>
            <w:vAlign w:val="center"/>
          </w:tcPr>
          <w:p w:rsidRPr="00254271" w:rsidR="00B17DDD" w:rsidP="1F31A2E8" w:rsidRDefault="35C6CFB3" w14:paraId="23618195" w14:textId="111697DB">
            <w:pPr>
              <w:pStyle w:val="BodyTex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1F31A2E8" w:rsidR="1F31A2E8">
              <w:rPr>
                <w:rFonts w:ascii="Arial" w:hAnsi="Arial" w:cs="Arial"/>
                <w:color w:val="auto"/>
              </w:rPr>
              <w:t>Roller door is open, promoting air flow. All doors from the office to the warehouse are also open.</w:t>
            </w:r>
          </w:p>
        </w:tc>
      </w:tr>
      <w:tr w:rsidR="0061257F" w:rsidTr="1F31A2E8" w14:paraId="23294E77" w14:textId="77777777">
        <w:trPr>
          <w:trHeight w:val="2136"/>
        </w:trPr>
        <w:tc>
          <w:tcPr>
            <w:tcW w:w="3495" w:type="dxa"/>
            <w:tcMar/>
            <w:vAlign w:val="center"/>
          </w:tcPr>
          <w:p w:rsidR="0061257F" w:rsidP="007360F9" w:rsidRDefault="00623FF1" w14:paraId="32F9722F" w14:textId="51F3D30C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Pr="00B21610" w:rsid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tcMar/>
            <w:vAlign w:val="center"/>
          </w:tcPr>
          <w:p w:rsidRPr="00BF2465" w:rsidR="0075247C" w:rsidP="2B4A8BAE" w:rsidRDefault="35C6CFB3" w14:paraId="269E54D6" w14:textId="39C7E11B">
            <w:pPr>
              <w:pStyle w:val="BodyTex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2B4A8BAE" w:rsidR="2B4A8BAE">
              <w:rPr>
                <w:rFonts w:ascii="Arial" w:hAnsi="Arial" w:cs="Arial"/>
                <w:color w:val="auto"/>
              </w:rPr>
              <w:t>Employees have been instructed to wear facemasks/covering at all times when at premises with others.</w:t>
            </w:r>
            <w:r>
              <w:br/>
            </w:r>
            <w:r>
              <w:br/>
            </w:r>
            <w:r w:rsidRPr="2B4A8BAE" w:rsidR="2B4A8BAE">
              <w:rPr>
                <w:rFonts w:ascii="Arial" w:hAnsi="Arial" w:cs="Arial"/>
                <w:color w:val="auto"/>
              </w:rPr>
              <w:t xml:space="preserve">If due to OHS, a face covering/mask is deemed not safe to be worn depending on task being done – staff must ensure they are not near others </w:t>
            </w:r>
            <w:proofErr w:type="spellStart"/>
            <w:r w:rsidRPr="2B4A8BAE" w:rsidR="2B4A8BAE">
              <w:rPr>
                <w:rFonts w:ascii="Arial" w:hAnsi="Arial" w:cs="Arial"/>
                <w:color w:val="auto"/>
              </w:rPr>
              <w:t>maintiaining</w:t>
            </w:r>
            <w:proofErr w:type="spellEnd"/>
            <w:r w:rsidRPr="2B4A8BAE" w:rsidR="2B4A8BAE">
              <w:rPr>
                <w:rFonts w:ascii="Arial" w:hAnsi="Arial" w:cs="Arial"/>
                <w:color w:val="auto"/>
              </w:rPr>
              <w:t xml:space="preserve"> social distance and put mask/covering back on when safe to do so.</w:t>
            </w:r>
          </w:p>
        </w:tc>
      </w:tr>
      <w:tr w:rsidR="00254271" w:rsidTr="1F31A2E8" w14:paraId="59161F75" w14:textId="77777777">
        <w:trPr>
          <w:trHeight w:val="2136"/>
        </w:trPr>
        <w:tc>
          <w:tcPr>
            <w:tcW w:w="3495" w:type="dxa"/>
            <w:tcMar/>
            <w:vAlign w:val="center"/>
          </w:tcPr>
          <w:p w:rsidRPr="00372B76" w:rsidR="005E7B99" w:rsidP="00916F10" w:rsidRDefault="00B17DDD" w14:paraId="2DDDD288" w14:textId="2F794A52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tcMar/>
            <w:vAlign w:val="center"/>
          </w:tcPr>
          <w:p w:rsidRPr="00B17DDD" w:rsidR="00B17DDD" w:rsidP="35C6CFB3" w:rsidRDefault="35C6CFB3" w14:paraId="31E27E5A" w14:textId="1BE218FB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2B4A8BAE" w:rsidR="2B4A8BAE">
              <w:rPr>
                <w:rFonts w:ascii="Arial" w:hAnsi="Arial" w:cs="Arial"/>
                <w:color w:val="auto"/>
              </w:rPr>
              <w:t>All staff have been instructed to ensure that their reusable masks/coverings are cleaned regularly.</w:t>
            </w:r>
          </w:p>
        </w:tc>
      </w:tr>
      <w:tr w:rsidR="008D127B" w:rsidTr="1F31A2E8" w14:paraId="31E65CB8" w14:textId="77777777">
        <w:trPr>
          <w:trHeight w:val="2136"/>
        </w:trPr>
        <w:tc>
          <w:tcPr>
            <w:tcW w:w="3495" w:type="dxa"/>
            <w:tcMar/>
            <w:vAlign w:val="center"/>
          </w:tcPr>
          <w:p w:rsidR="008D127B" w:rsidP="006A04EB" w:rsidRDefault="00C04B0E" w14:paraId="12BD5CA6" w14:textId="27B38CC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tcMar/>
            <w:vAlign w:val="center"/>
          </w:tcPr>
          <w:p w:rsidRPr="006A04EB" w:rsidR="008D127B" w:rsidP="35C6CFB3" w:rsidRDefault="35C6CFB3" w14:paraId="0597F6DE" w14:textId="64D6BE7C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 xml:space="preserve">Instructions have been given regarding all high-touch items to be made personal and not to be shared at all. </w:t>
            </w:r>
          </w:p>
        </w:tc>
      </w:tr>
    </w:tbl>
    <w:p w:rsidR="002C3278" w:rsidRDefault="002C3278" w14:paraId="074AF3A3" w14:textId="491BC349"/>
    <w:p w:rsidR="002C3278" w:rsidRDefault="002C3278" w14:paraId="491FAD0C" w14:textId="57674F69"/>
    <w:p w:rsidR="00973B1E" w:rsidRDefault="00973B1E" w14:paraId="03B77888" w14:textId="7777777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Pr="00735AA4" w:rsidR="002C3278" w:rsidTr="2B4A8BAE" w14:paraId="4CAE0443" w14:textId="77777777">
        <w:trPr>
          <w:trHeight w:val="352"/>
          <w:tblHeader/>
        </w:trPr>
        <w:tc>
          <w:tcPr>
            <w:tcW w:w="3527" w:type="dxa"/>
            <w:shd w:val="clear" w:color="auto" w:fill="201547"/>
            <w:tcMar/>
          </w:tcPr>
          <w:p w:rsidRPr="00735AA4" w:rsidR="002C3278" w:rsidP="00D30EB1" w:rsidRDefault="002C3278" w14:paraId="76BBCA80" w14:textId="77777777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  <w:tcMar/>
          </w:tcPr>
          <w:p w:rsidRPr="00735AA4" w:rsidR="002C3278" w:rsidP="00D30EB1" w:rsidRDefault="002C3278" w14:paraId="1D5478E1" w14:textId="77777777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Pr="00E05982" w:rsidR="00B17DDD" w:rsidTr="2B4A8BAE" w14:paraId="4B720A2F" w14:textId="77777777">
        <w:trPr>
          <w:trHeight w:val="301"/>
        </w:trPr>
        <w:tc>
          <w:tcPr>
            <w:tcW w:w="10456" w:type="dxa"/>
            <w:gridSpan w:val="2"/>
            <w:shd w:val="clear" w:color="auto" w:fill="E6E2F6"/>
            <w:tcMar/>
            <w:vAlign w:val="center"/>
          </w:tcPr>
          <w:p w:rsidRPr="00ED1636" w:rsidR="00B17DDD" w:rsidP="00B17DDD" w:rsidRDefault="00F27A2C" w14:paraId="5F333B2D" w14:textId="31A7A3F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 w:cs="Calibri" w:eastAsiaTheme="minorHAns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Pr="004573B3" w:rsidR="00B17DDD" w:rsidTr="2B4A8BAE" w14:paraId="20750385" w14:textId="77777777">
        <w:trPr>
          <w:trHeight w:val="2593"/>
        </w:trPr>
        <w:tc>
          <w:tcPr>
            <w:tcW w:w="3527" w:type="dxa"/>
            <w:tcMar/>
            <w:vAlign w:val="center"/>
          </w:tcPr>
          <w:p w:rsidRPr="00372B76" w:rsidR="00F241FA" w:rsidP="00916F10" w:rsidRDefault="00B17DDD" w14:paraId="70FD88EF" w14:textId="7C20AE55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tcMar/>
            <w:vAlign w:val="center"/>
          </w:tcPr>
          <w:p w:rsidRPr="00F9660D" w:rsidR="00B17DDD" w:rsidP="2B4A8BAE" w:rsidRDefault="35C6CFB3" w14:paraId="158167BA" w14:textId="765EFDB5">
            <w:pPr>
              <w:pStyle w:val="BodyText"/>
              <w:spacing w:before="0" w:after="0" w:line="240" w:lineRule="auto"/>
              <w:ind w:left="0"/>
              <w:rPr>
                <w:rFonts w:ascii="Arial" w:hAnsi="Arial" w:cs="Arial"/>
                <w:color w:val="auto" w:themeColor="text1" w:themeTint="80"/>
              </w:rPr>
            </w:pPr>
            <w:r w:rsidRPr="2B4A8BAE" w:rsidR="2B4A8BAE">
              <w:rPr>
                <w:rFonts w:ascii="Arial" w:hAnsi="Arial" w:cs="Arial"/>
                <w:color w:val="auto"/>
              </w:rPr>
              <w:t>Daily cleaning and disinfection of communal areas including toilet and kitchen areas is undertaken.</w:t>
            </w:r>
            <w:r>
              <w:br/>
            </w:r>
            <w:r>
              <w:br/>
            </w:r>
            <w:r w:rsidRPr="2B4A8BAE" w:rsidR="2B4A8BAE">
              <w:rPr>
                <w:rFonts w:ascii="Arial" w:hAnsi="Arial" w:cs="Arial"/>
                <w:color w:val="auto"/>
              </w:rPr>
              <w:t>Toilet, taps etc are to be disinfected regularly (if only one person at worksite – needs to be done at end of day other a minimum of twice through the day).</w:t>
            </w:r>
          </w:p>
        </w:tc>
      </w:tr>
      <w:tr w:rsidRPr="004573B3" w:rsidR="00B17DDD" w:rsidTr="2B4A8BAE" w14:paraId="71B446BE" w14:textId="77777777">
        <w:trPr>
          <w:trHeight w:val="2593"/>
        </w:trPr>
        <w:tc>
          <w:tcPr>
            <w:tcW w:w="3527" w:type="dxa"/>
            <w:tcMar/>
            <w:vAlign w:val="center"/>
          </w:tcPr>
          <w:p w:rsidRPr="00FE2779" w:rsidR="00B17DDD" w:rsidP="00B17DDD" w:rsidRDefault="00B17DDD" w14:paraId="685B09FF" w14:textId="0F56970C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tcMar/>
            <w:vAlign w:val="center"/>
          </w:tcPr>
          <w:p w:rsidRPr="00E54345" w:rsidR="00B17DDD" w:rsidP="35C6CFB3" w:rsidRDefault="35C6CFB3" w14:paraId="079B73C0" w14:textId="309EAB2B">
            <w:pPr>
              <w:rPr>
                <w:rFonts w:ascii="Arial" w:hAnsi="Arial" w:eastAsia="Times New Roman" w:cs="Arial"/>
                <w:color w:val="7F7F7F" w:themeColor="text1" w:themeTint="80"/>
                <w:sz w:val="20"/>
                <w:szCs w:val="20"/>
                <w:lang w:eastAsia="en-US"/>
              </w:rPr>
            </w:pPr>
            <w:r w:rsidRPr="2B4A8BAE" w:rsidR="2B4A8BAE">
              <w:rPr>
                <w:rFonts w:ascii="Arial" w:hAnsi="Arial" w:eastAsia="Times New Roman" w:cs="Arial"/>
                <w:sz w:val="20"/>
                <w:szCs w:val="20"/>
                <w:lang w:eastAsia="en-US"/>
              </w:rPr>
              <w:t>Adequate supplies of disinfectant are on hand as well as disposable rags/</w:t>
            </w:r>
            <w:r w:rsidRPr="2B4A8BAE" w:rsidR="2B4A8BAE">
              <w:rPr>
                <w:rFonts w:ascii="Arial" w:hAnsi="Arial" w:eastAsia="Times New Roman" w:cs="Arial"/>
                <w:sz w:val="20"/>
                <w:szCs w:val="20"/>
                <w:lang w:eastAsia="en-US"/>
              </w:rPr>
              <w:t>papertowel.</w:t>
            </w:r>
          </w:p>
        </w:tc>
      </w:tr>
    </w:tbl>
    <w:p w:rsidR="00B21610" w:rsidRDefault="00B21610" w14:paraId="4584563D" w14:textId="00ED2C7E"/>
    <w:p w:rsidR="00677DE7" w:rsidRDefault="00677DE7" w14:paraId="0FABC1E4" w14:textId="315E5BA4">
      <w:r>
        <w:br w:type="page"/>
      </w:r>
    </w:p>
    <w:p w:rsidR="006A1C8E" w:rsidRDefault="006A1C8E" w14:paraId="0BEE7D05" w14:textId="7777777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Pr="00735AA4" w:rsidR="002C3278" w:rsidTr="1F31A2E8" w14:paraId="743CC95F" w14:textId="77777777">
        <w:trPr>
          <w:trHeight w:val="352"/>
          <w:tblHeader/>
        </w:trPr>
        <w:tc>
          <w:tcPr>
            <w:tcW w:w="3495" w:type="dxa"/>
            <w:shd w:val="clear" w:color="auto" w:fill="201547"/>
            <w:tcMar/>
          </w:tcPr>
          <w:p w:rsidRPr="00735AA4" w:rsidR="002C3278" w:rsidP="00D30EB1" w:rsidRDefault="002C3278" w14:paraId="788B722A" w14:textId="77777777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  <w:tcMar/>
          </w:tcPr>
          <w:p w:rsidRPr="00735AA4" w:rsidR="002C3278" w:rsidP="00D30EB1" w:rsidRDefault="002C3278" w14:paraId="18A7B0F8" w14:textId="77777777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Pr="00372B76" w:rsidR="00372B76" w:rsidTr="1F31A2E8" w14:paraId="439670A3" w14:textId="77777777">
        <w:trPr>
          <w:trHeight w:val="331"/>
        </w:trPr>
        <w:tc>
          <w:tcPr>
            <w:tcW w:w="10456" w:type="dxa"/>
            <w:gridSpan w:val="3"/>
            <w:shd w:val="clear" w:color="auto" w:fill="E6E2F6"/>
            <w:tcMar/>
            <w:vAlign w:val="center"/>
          </w:tcPr>
          <w:p w:rsidRPr="00372B76" w:rsidR="00B17DDD" w:rsidP="00B17DDD" w:rsidRDefault="00B17DDD" w14:paraId="6A471250" w14:textId="5788C696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Pr="00372B76" w:rsidR="00973A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Pr="00372B76" w:rsidR="00372B76" w:rsidTr="1F31A2E8" w14:paraId="597B0846" w14:textId="77777777">
        <w:trPr>
          <w:trHeight w:val="2018"/>
        </w:trPr>
        <w:tc>
          <w:tcPr>
            <w:tcW w:w="3527" w:type="dxa"/>
            <w:gridSpan w:val="2"/>
            <w:tcMar/>
            <w:vAlign w:val="center"/>
          </w:tcPr>
          <w:p w:rsidRPr="00372B76" w:rsidR="00973ABC" w:rsidP="00916F10" w:rsidRDefault="00B21610" w14:paraId="1BF79210" w14:textId="4ACB86B7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tcMar/>
            <w:vAlign w:val="center"/>
          </w:tcPr>
          <w:p w:rsidRPr="00372B76" w:rsidR="003C4BB3" w:rsidP="2B4A8BAE" w:rsidRDefault="35C6CFB3" w14:paraId="03AB30C8" w14:textId="78EB4327">
            <w:pPr>
              <w:pStyle w:val="BodyText"/>
              <w:spacing w:before="0" w:after="0" w:line="240" w:lineRule="auto"/>
            </w:pPr>
            <w:r w:rsidRPr="1F31A2E8" w:rsidR="1F31A2E8">
              <w:rPr>
                <w:rFonts w:ascii="Arial" w:hAnsi="Arial" w:cs="Arial"/>
                <w:color w:val="auto"/>
              </w:rPr>
              <w:t>Administration staff have been told to stay at home. Staff at premises are involved in picking packing and despatch.</w:t>
            </w:r>
          </w:p>
        </w:tc>
      </w:tr>
      <w:tr w:rsidRPr="001A0E07" w:rsidR="00973ABC" w:rsidTr="1F31A2E8" w14:paraId="23631007" w14:textId="77777777">
        <w:trPr>
          <w:trHeight w:val="2018"/>
        </w:trPr>
        <w:tc>
          <w:tcPr>
            <w:tcW w:w="3527" w:type="dxa"/>
            <w:gridSpan w:val="2"/>
            <w:tcMar/>
            <w:vAlign w:val="center"/>
          </w:tcPr>
          <w:p w:rsidRPr="00372B76" w:rsidR="00973ABC" w:rsidP="00916F10" w:rsidRDefault="559F46C4" w14:paraId="3F39AD00" w14:textId="3698AA4A">
            <w:r w:rsidRPr="039602F5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tcMar/>
            <w:vAlign w:val="center"/>
          </w:tcPr>
          <w:p w:rsidRPr="00372B76" w:rsidR="00973ABC" w:rsidP="35C6CFB3" w:rsidRDefault="35C6CFB3" w14:paraId="22AEB504" w14:textId="6A489744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>Single place work premises. Pick up and deliver are contact free.</w:t>
            </w:r>
          </w:p>
        </w:tc>
      </w:tr>
      <w:tr w:rsidRPr="001A0E07" w:rsidR="0043634A" w:rsidTr="1F31A2E8" w14:paraId="70F85E60" w14:textId="77777777">
        <w:trPr>
          <w:trHeight w:val="2018"/>
        </w:trPr>
        <w:tc>
          <w:tcPr>
            <w:tcW w:w="3527" w:type="dxa"/>
            <w:gridSpan w:val="2"/>
            <w:tcMar/>
            <w:vAlign w:val="center"/>
          </w:tcPr>
          <w:p w:rsidRPr="039602F5" w:rsidR="0043634A" w:rsidP="00AE1821" w:rsidRDefault="0043634A" w14:paraId="56D4E197" w14:textId="5D94A6AF">
            <w:pPr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hAnsi="Arial" w:eastAsia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tcMar/>
            <w:vAlign w:val="center"/>
          </w:tcPr>
          <w:p w:rsidRPr="00AC0BF2" w:rsidR="0043634A" w:rsidDel="00973B1E" w:rsidP="2B4A8BAE" w:rsidRDefault="35C6CFB3" w14:paraId="3FDF34C6" w14:textId="2D07AD51">
            <w:pPr>
              <w:pStyle w:val="BodyTex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B4A8BAE" w:rsidR="2B4A8BAE">
              <w:rPr>
                <w:rFonts w:ascii="Arial" w:hAnsi="Arial" w:cs="Arial"/>
                <w:color w:val="auto"/>
              </w:rPr>
              <w:t xml:space="preserve">Doors are locked to customers.  No customers or </w:t>
            </w:r>
            <w:proofErr w:type="spellStart"/>
            <w:r w:rsidRPr="2B4A8BAE" w:rsidR="2B4A8BAE">
              <w:rPr>
                <w:rFonts w:ascii="Arial" w:hAnsi="Arial" w:cs="Arial"/>
                <w:color w:val="auto"/>
              </w:rPr>
              <w:t>vistors</w:t>
            </w:r>
            <w:proofErr w:type="spellEnd"/>
            <w:r w:rsidRPr="2B4A8BAE" w:rsidR="2B4A8BAE">
              <w:rPr>
                <w:rFonts w:ascii="Arial" w:hAnsi="Arial" w:cs="Arial"/>
                <w:color w:val="auto"/>
              </w:rPr>
              <w:t xml:space="preserve"> allowed into workplace.</w:t>
            </w:r>
          </w:p>
        </w:tc>
      </w:tr>
      <w:tr w:rsidRPr="001A0E07" w:rsidR="00B17DDD" w:rsidTr="1F31A2E8" w14:paraId="7769E7A5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372B76" w:rsidR="005E7B99" w:rsidP="00916F10" w:rsidRDefault="00B17DDD" w14:paraId="7D6BF46E" w14:textId="42E69E5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tcMar/>
            <w:vAlign w:val="center"/>
          </w:tcPr>
          <w:p w:rsidRPr="00AC0BF2" w:rsidR="00B17DDD" w:rsidP="1F31A2E8" w:rsidRDefault="35C6CFB3" w14:paraId="0AD062C5" w14:textId="7C6908C5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 w:themeShade="FF"/>
              </w:rPr>
            </w:pPr>
            <w:r w:rsidRPr="1F31A2E8" w:rsidR="1F31A2E8">
              <w:rPr>
                <w:rFonts w:ascii="Arial" w:hAnsi="Arial" w:cs="Arial"/>
                <w:color w:val="auto"/>
              </w:rPr>
              <w:t>Instructions have been given to employee's regarding all communal areas, social distancing and the 4 metre sq m guide in confined areas.</w:t>
            </w:r>
            <w:r>
              <w:br/>
            </w:r>
            <w:r>
              <w:br/>
            </w:r>
            <w:r w:rsidRPr="1F31A2E8" w:rsidR="1F31A2E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17DDD" w:rsidTr="1F31A2E8" w14:paraId="26F099AA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7360F9" w:rsidR="00B17DDD" w:rsidP="00B17DDD" w:rsidRDefault="00B17DDD" w14:paraId="34E89B1B" w14:textId="438B2FB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tcMar/>
            <w:vAlign w:val="center"/>
          </w:tcPr>
          <w:p w:rsidRPr="00372B76" w:rsidR="00B17DDD" w:rsidP="1F31A2E8" w:rsidRDefault="35C6CFB3" w14:paraId="2D90CC0B" w14:textId="163AC104">
            <w:pPr>
              <w:pStyle w:val="BodyTex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1F31A2E8" w:rsidR="1F31A2E8">
              <w:rPr>
                <w:rFonts w:ascii="Arial" w:hAnsi="Arial" w:cs="Arial"/>
                <w:color w:val="auto"/>
              </w:rPr>
              <w:t>Markings have been placed on the floor where required.</w:t>
            </w:r>
          </w:p>
        </w:tc>
      </w:tr>
      <w:tr w:rsidR="00B17DDD" w:rsidTr="1F31A2E8" w14:paraId="2C5C60E7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7360F9" w:rsidR="00B17DDD" w:rsidP="00B17DDD" w:rsidRDefault="00B17DDD" w14:paraId="7743D629" w14:textId="42EDA0CE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tcMar/>
            <w:vAlign w:val="center"/>
          </w:tcPr>
          <w:p w:rsidRPr="00ED1636" w:rsidR="00B17DDD" w:rsidP="1F31A2E8" w:rsidRDefault="35C6CFB3" w14:paraId="007BE712" w14:textId="61FBB1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1F31A2E8" w:rsidR="1F31A2E8">
              <w:rPr>
                <w:rFonts w:ascii="Arial" w:hAnsi="Arial" w:cs="Arial"/>
                <w:sz w:val="18"/>
                <w:szCs w:val="18"/>
              </w:rPr>
              <w:t>This</w:t>
            </w:r>
            <w:r w:rsidRPr="1F31A2E8" w:rsidR="1F31A2E8">
              <w:rPr>
                <w:rFonts w:ascii="Arial" w:hAnsi="Arial" w:cs="Arial"/>
                <w:sz w:val="18"/>
                <w:szCs w:val="18"/>
              </w:rPr>
              <w:t xml:space="preserve"> is the current set up.</w:t>
            </w:r>
          </w:p>
        </w:tc>
      </w:tr>
      <w:tr w:rsidRPr="00A800A4" w:rsidR="00B17DDD" w:rsidTr="1F31A2E8" w14:paraId="067D97EE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7360F9" w:rsidR="00B17DDD" w:rsidP="00B17DDD" w:rsidRDefault="00B17DDD" w14:paraId="6EFE3CB5" w14:textId="04D1912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r w:rsidRPr="007360F9"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tcMar/>
            <w:vAlign w:val="center"/>
          </w:tcPr>
          <w:p w:rsidRPr="00BF2465" w:rsidR="00B17DDD" w:rsidP="2B4A8BAE" w:rsidRDefault="35C6CFB3" w14:paraId="2A6BD957" w14:textId="6C901E69">
            <w:pPr>
              <w:pStyle w:val="BodyTex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</w:rPr>
            </w:pPr>
            <w:r w:rsidRPr="1F31A2E8" w:rsidR="1F31A2E8">
              <w:rPr>
                <w:rFonts w:ascii="Arial" w:hAnsi="Arial" w:cs="Arial"/>
                <w:color w:val="auto"/>
              </w:rPr>
              <w:t>Limited staff to eliminate crowding of the workplace.</w:t>
            </w:r>
          </w:p>
        </w:tc>
      </w:tr>
      <w:tr w:rsidRPr="009F1447" w:rsidR="00B17DDD" w:rsidTr="1F31A2E8" w14:paraId="7550EDD3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7360F9" w:rsidR="00B17DDD" w:rsidP="00B17DDD" w:rsidRDefault="00B17DDD" w14:paraId="1B3A3737" w14:textId="6DDD7F0F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tcMar/>
            <w:vAlign w:val="center"/>
          </w:tcPr>
          <w:p w:rsidRPr="00B17DDD" w:rsidR="007F600F" w:rsidP="2B4A8BAE" w:rsidRDefault="35C6CFB3" w14:paraId="236503D6" w14:textId="0762E5DE">
            <w:pPr>
              <w:pStyle w:val="BodyTex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B4A8BAE" w:rsidR="2B4A8BAE">
              <w:rPr>
                <w:rFonts w:ascii="Arial" w:hAnsi="Arial" w:cs="Arial"/>
                <w:color w:val="auto"/>
                <w:sz w:val="18"/>
                <w:szCs w:val="18"/>
              </w:rPr>
              <w:t>Staff have been communicated to regarding social distancing.  Lunch breaks are all taken separate.</w:t>
            </w:r>
          </w:p>
        </w:tc>
      </w:tr>
      <w:tr w:rsidR="00B17DDD" w:rsidTr="1F31A2E8" w14:paraId="7605C836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ED1636" w:rsidR="00B17DDD" w:rsidP="00B17DDD" w:rsidRDefault="007360F9" w14:paraId="3CC0A3A0" w14:textId="3BF0B4E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tcMar/>
            <w:vAlign w:val="center"/>
          </w:tcPr>
          <w:p w:rsidRPr="007360F9" w:rsidR="0054616A" w:rsidP="2B4A8BAE" w:rsidRDefault="35C6CFB3" w14:paraId="45520139" w14:textId="2D573640">
            <w:pPr>
              <w:pStyle w:val="BodyText"/>
              <w:spacing w:before="0" w:after="0" w:line="240" w:lineRule="auto"/>
              <w:rPr>
                <w:rFonts w:ascii="Arial" w:hAnsi="Arial" w:cs="Arial"/>
                <w:color w:val="auto" w:themeColor="text1" w:themeTint="80"/>
              </w:rPr>
            </w:pPr>
            <w:r w:rsidRPr="1F31A2E8" w:rsidR="1F31A2E8">
              <w:rPr>
                <w:rFonts w:ascii="Arial" w:hAnsi="Arial" w:cs="Arial"/>
                <w:color w:val="auto"/>
              </w:rPr>
              <w:t>All delivers and pickups are contactless with all freight companies.   Special set up has been made outside entrance of shop for deliveries to be left with minimal contact.</w:t>
            </w:r>
            <w:r>
              <w:br/>
            </w:r>
            <w:r>
              <w:br/>
            </w:r>
          </w:p>
        </w:tc>
      </w:tr>
      <w:tr w:rsidR="003863F8" w:rsidTr="1F31A2E8" w14:paraId="10086F05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="003863F8" w:rsidP="003863F8" w:rsidRDefault="003863F8" w14:paraId="095F4D03" w14:textId="1C590A5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tcMar/>
            <w:vAlign w:val="center"/>
          </w:tcPr>
          <w:p w:rsidRPr="00160C5E" w:rsidR="003863F8" w:rsidP="35C6CFB3" w:rsidRDefault="35C6CFB3" w14:paraId="281A324D" w14:textId="3D163FD2">
            <w:pPr>
              <w:pStyle w:val="BodyText"/>
              <w:spacing w:before="0" w:after="0" w:line="240" w:lineRule="auto"/>
              <w:rPr>
                <w:rFonts w:ascii="Arial" w:hAnsi="Arial" w:cs="Arial"/>
                <w:color w:val="auto"/>
              </w:rPr>
            </w:pPr>
            <w:r w:rsidRPr="35C6CFB3">
              <w:rPr>
                <w:rFonts w:ascii="Arial" w:hAnsi="Arial" w:cs="Arial"/>
                <w:color w:val="auto"/>
              </w:rPr>
              <w:t>Cutting down and limiting the number of staff present on any given day, to minimise contact and maximise distance.</w:t>
            </w:r>
          </w:p>
        </w:tc>
      </w:tr>
      <w:tr w:rsidR="00160C5E" w:rsidTr="1F31A2E8" w14:paraId="5CB51A07" w14:textId="77777777">
        <w:trPr>
          <w:trHeight w:val="1741"/>
        </w:trPr>
        <w:tc>
          <w:tcPr>
            <w:tcW w:w="3527" w:type="dxa"/>
            <w:gridSpan w:val="2"/>
            <w:tcMar/>
            <w:vAlign w:val="center"/>
          </w:tcPr>
          <w:p w:rsidRPr="00BE74E0" w:rsidR="00BE74E0" w:rsidP="00BE74E0" w:rsidRDefault="00160C5E" w14:paraId="54D39EBF" w14:textId="2D89A45E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Pr="00BE74E0" w:rsidR="00A115DA">
              <w:rPr>
                <w:sz w:val="18"/>
                <w:szCs w:val="18"/>
              </w:rPr>
              <w:t xml:space="preserve">, as determined by the </w:t>
            </w:r>
            <w:r w:rsidRPr="00BE74E0" w:rsidR="00BE74E0">
              <w:rPr>
                <w:sz w:val="18"/>
                <w:szCs w:val="18"/>
              </w:rPr>
              <w:t>‘</w:t>
            </w:r>
            <w:hyperlink w:history="1" w:anchor="what-is-the-four-square-metre-rule" r:id="rId14">
              <w:r w:rsidRPr="00BE74E0" w:rsid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tcMar/>
            <w:vAlign w:val="center"/>
          </w:tcPr>
          <w:p w:rsidRPr="0018425D" w:rsidR="00160C5E" w:rsidP="35C6CFB3" w:rsidRDefault="35C6CFB3" w14:paraId="557DF88D" w14:textId="4BA8F13E">
            <w:pPr>
              <w:pStyle w:val="BodyText"/>
              <w:spacing w:before="0" w:after="0" w:line="240" w:lineRule="auto"/>
              <w:rPr>
                <w:rFonts w:ascii="Arial" w:hAnsi="Arial" w:cs="Arial"/>
                <w:color w:val="auto"/>
              </w:rPr>
            </w:pPr>
            <w:r w:rsidRPr="1F31A2E8" w:rsidR="1F31A2E8">
              <w:rPr>
                <w:rFonts w:ascii="Arial" w:hAnsi="Arial" w:cs="Arial"/>
                <w:color w:val="auto"/>
              </w:rPr>
              <w:t>The warehouse is closed, to all people apart from employees.</w:t>
            </w:r>
          </w:p>
        </w:tc>
      </w:tr>
    </w:tbl>
    <w:p w:rsidR="00677DE7" w:rsidRDefault="00677DE7" w14:paraId="211B7A1A" w14:textId="362800BA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Pr="00735AA4" w:rsidR="009B254C" w:rsidTr="35C6CFB3" w14:paraId="662E5B75" w14:textId="7777777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:rsidRPr="00735AA4" w:rsidR="009B254C" w:rsidP="00D30EB1" w:rsidRDefault="009B254C" w14:paraId="7C303328" w14:textId="1DE2CE9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201547"/>
          </w:tcPr>
          <w:p w:rsidRPr="00735AA4" w:rsidR="009B254C" w:rsidP="00D30EB1" w:rsidRDefault="009B254C" w14:paraId="60277E8A" w14:textId="0AEFDEF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:rsidTr="35C6CFB3" w14:paraId="5F6E2540" w14:textId="7777777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:rsidRPr="00ED1636" w:rsidR="00B17DDD" w:rsidP="00B17DDD" w:rsidRDefault="00B17DDD" w14:paraId="3A2CB024" w14:textId="7B340F3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:rsidTr="35C6CFB3" w14:paraId="340441A2" w14:textId="77777777">
        <w:trPr>
          <w:trHeight w:val="2213"/>
        </w:trPr>
        <w:tc>
          <w:tcPr>
            <w:tcW w:w="3510" w:type="dxa"/>
            <w:gridSpan w:val="2"/>
            <w:vAlign w:val="center"/>
          </w:tcPr>
          <w:p w:rsidRPr="007360F9" w:rsidR="007360F9" w:rsidP="004356BC" w:rsidRDefault="002671E2" w14:paraId="22D4867E" w14:textId="76B9C5DA">
            <w:pPr>
              <w:pStyle w:val="BodyText"/>
              <w:spacing w:before="0" w:after="0" w:line="240" w:lineRule="auto"/>
            </w:pPr>
            <w:r w:rsidRP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Pr="004356BC" w:rsid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hAnsi="Arial" w:eastAsia="MS Mincho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:rsidRPr="009D7D10" w:rsidR="00D36FD6" w:rsidP="35C6CFB3" w:rsidRDefault="35C6CFB3" w14:paraId="61FCA2F3" w14:textId="25DF8B5A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>Process / documentation is being recorded from delivers to click and collect protocol.</w:t>
            </w:r>
          </w:p>
        </w:tc>
      </w:tr>
      <w:tr w:rsidR="00EF7679" w:rsidTr="35C6CFB3" w14:paraId="3D740297" w14:textId="77777777">
        <w:trPr>
          <w:trHeight w:val="2213"/>
        </w:trPr>
        <w:tc>
          <w:tcPr>
            <w:tcW w:w="3510" w:type="dxa"/>
            <w:gridSpan w:val="2"/>
            <w:vAlign w:val="center"/>
          </w:tcPr>
          <w:p w:rsidR="00EF7679" w:rsidP="00EF7679" w:rsidRDefault="00EF7679" w14:paraId="44657300" w14:textId="328B95C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:rsidR="00EF7679" w:rsidP="35C6CFB3" w:rsidRDefault="35C6CFB3" w14:paraId="02F99FCC" w14:textId="373DDC79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>All staff have been informed regarding the relevance of reporting breaches in Covid policy and noting of the breach.</w:t>
            </w:r>
          </w:p>
        </w:tc>
      </w:tr>
    </w:tbl>
    <w:p w:rsidR="00677DE7" w:rsidRDefault="00677DE7" w14:paraId="56F6D9EF" w14:textId="04C05D38"/>
    <w:p w:rsidR="00677DE7" w:rsidRDefault="00677DE7" w14:paraId="62C4DDBF" w14:textId="7777777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Pr="00735AA4" w:rsidR="009B254C" w:rsidTr="2B4A8BAE" w14:paraId="2C56A4E0" w14:textId="77777777">
        <w:trPr>
          <w:trHeight w:val="325"/>
          <w:tblHeader/>
        </w:trPr>
        <w:tc>
          <w:tcPr>
            <w:tcW w:w="3514" w:type="dxa"/>
            <w:shd w:val="clear" w:color="auto" w:fill="201547"/>
            <w:tcMar/>
          </w:tcPr>
          <w:p w:rsidRPr="00735AA4" w:rsidR="009B254C" w:rsidP="00D30EB1" w:rsidRDefault="009B254C" w14:paraId="51F36861" w14:textId="77777777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  <w:tcMar/>
          </w:tcPr>
          <w:p w:rsidRPr="00735AA4" w:rsidR="009B254C" w:rsidP="00D30EB1" w:rsidRDefault="009B254C" w14:paraId="01F84408" w14:textId="6EC49A23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:rsidTr="2B4A8BAE" w14:paraId="6D45D2BF" w14:textId="77777777">
        <w:trPr>
          <w:trHeight w:val="358"/>
        </w:trPr>
        <w:tc>
          <w:tcPr>
            <w:tcW w:w="10516" w:type="dxa"/>
            <w:gridSpan w:val="2"/>
            <w:shd w:val="clear" w:color="auto" w:fill="E6E2F6"/>
            <w:tcMar/>
            <w:vAlign w:val="center"/>
          </w:tcPr>
          <w:p w:rsidRPr="00ED1636" w:rsidR="00F27A2C" w:rsidP="00F27A2C" w:rsidRDefault="00F27A2C" w14:paraId="0F027B6E" w14:textId="62EA7904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:rsidTr="2B4A8BAE" w14:paraId="0692E047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="002C33B9" w:rsidP="00F27A2C" w:rsidRDefault="002C33B9" w14:paraId="1116C316" w14:textId="6C0ED51E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tcMar/>
            <w:vAlign w:val="center"/>
          </w:tcPr>
          <w:p w:rsidRPr="00680CAA" w:rsidR="002C33B9" w:rsidP="35C6CFB3" w:rsidRDefault="35C6CFB3" w14:paraId="3146DCD7" w14:textId="3D6196DB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 xml:space="preserve">Covid testing and split shifts (after a negative result confirmed) will be put in place should an event occur. </w:t>
            </w:r>
          </w:p>
        </w:tc>
      </w:tr>
      <w:tr w:rsidR="00F27A2C" w:rsidTr="2B4A8BAE" w14:paraId="7D39FBE0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="00740ADC" w:rsidP="00916F10" w:rsidRDefault="00254271" w14:paraId="0F6EC93A" w14:textId="0205C546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tcMar/>
            <w:vAlign w:val="center"/>
          </w:tcPr>
          <w:p w:rsidRPr="00680CAA" w:rsidR="00C4452E" w:rsidP="35C6CFB3" w:rsidRDefault="35C6CFB3" w14:paraId="282A638E" w14:textId="07F6E8D7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 xml:space="preserve">Understood. </w:t>
            </w:r>
          </w:p>
        </w:tc>
      </w:tr>
      <w:tr w:rsidR="00F27A2C" w:rsidTr="2B4A8BAE" w14:paraId="02469755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="0039764C" w:rsidP="00F27A2C" w:rsidRDefault="0039764C" w14:paraId="00F648BE" w14:textId="7777777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:rsidRPr="00740ADC" w:rsidR="00F27A2C" w:rsidP="00F27A2C" w:rsidRDefault="004C78F4" w14:paraId="16F83B6D" w14:textId="537E5423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Pr="00740ADC"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Pr="00740ADC"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:rsidRPr="00740ADC" w:rsidR="00D36FD6" w:rsidP="00740ADC" w:rsidRDefault="00D36FD6" w14:paraId="48985E5B" w14:textId="79473E12">
            <w:pPr>
              <w:rPr>
                <w:rFonts w:ascii="Arial" w:hAnsi="Arial" w:eastAsia="MS Mincho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tcMar/>
            <w:vAlign w:val="center"/>
          </w:tcPr>
          <w:p w:rsidRPr="00680CAA" w:rsidR="00F27A2C" w:rsidP="35C6CFB3" w:rsidRDefault="35C6CFB3" w14:paraId="1868A9CB" w14:textId="2B99AE99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>Scheduled disinfecting protocols currently in place to ensure the workplace environment is clean and safe.</w:t>
            </w:r>
          </w:p>
        </w:tc>
      </w:tr>
      <w:tr w:rsidR="00DE12CB" w:rsidTr="2B4A8BAE" w14:paraId="4D1F14FD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="00D36FD6" w:rsidP="00916F10" w:rsidRDefault="00DE12CB" w14:paraId="458A6194" w14:textId="5A5BA69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tcMar/>
            <w:vAlign w:val="center"/>
          </w:tcPr>
          <w:p w:rsidRPr="00680CAA" w:rsidR="00272605" w:rsidP="35C6CFB3" w:rsidRDefault="35C6CFB3" w14:paraId="68CE4AF9" w14:textId="045D065E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 xml:space="preserve">Disinfect all areas and have all staff tested. Close business and until negative results confirmed. Re-opening the business after with available staff. </w:t>
            </w:r>
          </w:p>
        </w:tc>
      </w:tr>
      <w:tr w:rsidR="00DE5758" w:rsidTr="2B4A8BAE" w14:paraId="1E1FAA4A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Pr="009F1564" w:rsidR="00740ADC" w:rsidP="00DE5758" w:rsidRDefault="00DE5758" w14:paraId="170D1796" w14:textId="339DB45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tcMar/>
            <w:vAlign w:val="center"/>
          </w:tcPr>
          <w:p w:rsidRPr="00680CAA" w:rsidR="00DE5758" w:rsidP="2B4A8BAE" w:rsidRDefault="35C6CFB3" w14:paraId="6C4E97BA" w14:textId="7625951A">
            <w:pPr>
              <w:pStyle w:val="ListBullet2"/>
              <w:numPr>
                <w:numId w:val="0"/>
              </w:numPr>
              <w:spacing w:after="0"/>
              <w:rPr>
                <w:rFonts w:cs="Arial"/>
                <w:color w:val="auto" w:themeColor="text1" w:themeTint="A6"/>
              </w:rPr>
            </w:pPr>
            <w:r w:rsidRPr="2B4A8BAE" w:rsidR="2B4A8BAE">
              <w:rPr>
                <w:rFonts w:cs="Arial"/>
                <w:color w:val="auto"/>
              </w:rPr>
              <w:t xml:space="preserve">Understood. </w:t>
            </w:r>
          </w:p>
        </w:tc>
      </w:tr>
      <w:tr w:rsidR="003A1264" w:rsidTr="2B4A8BAE" w14:paraId="67474DCC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Pr="003A1264" w:rsidR="009F1564" w:rsidP="009F1564" w:rsidRDefault="00B22F97" w14:paraId="3C387193" w14:textId="6219198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tcMar/>
            <w:vAlign w:val="center"/>
          </w:tcPr>
          <w:p w:rsidRPr="00680CAA" w:rsidR="003A1264" w:rsidP="35C6CFB3" w:rsidRDefault="35C6CFB3" w14:paraId="5C69F0CA" w14:textId="3D884F51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</w:rPr>
            </w:pPr>
            <w:r w:rsidRPr="35C6CFB3">
              <w:rPr>
                <w:rFonts w:cs="Arial"/>
                <w:color w:val="auto"/>
              </w:rPr>
              <w:t>Understood</w:t>
            </w:r>
          </w:p>
        </w:tc>
      </w:tr>
      <w:tr w:rsidR="008272B7" w:rsidTr="2B4A8BAE" w14:paraId="648B8631" w14:textId="77777777">
        <w:trPr>
          <w:trHeight w:val="1769"/>
        </w:trPr>
        <w:tc>
          <w:tcPr>
            <w:tcW w:w="3514" w:type="dxa"/>
            <w:tcMar/>
            <w:vAlign w:val="center"/>
          </w:tcPr>
          <w:p w:rsidRPr="00DE5758" w:rsidR="009F1564" w:rsidP="008272B7" w:rsidRDefault="003A3D88" w14:paraId="5627D668" w14:textId="2D2CBDE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tcMar/>
            <w:vAlign w:val="center"/>
          </w:tcPr>
          <w:p w:rsidRPr="00680CAA" w:rsidR="009F1564" w:rsidP="35C6CFB3" w:rsidRDefault="35C6CFB3" w14:paraId="51592920" w14:textId="547F903F">
            <w:pPr>
              <w:pStyle w:val="BodyText"/>
              <w:spacing w:before="0" w:after="0" w:line="240" w:lineRule="auto"/>
              <w:rPr>
                <w:rFonts w:ascii="Arial" w:hAnsi="Arial" w:cs="Arial"/>
                <w:color w:val="7F7F7F" w:themeColor="text1" w:themeTint="80"/>
              </w:rPr>
            </w:pPr>
            <w:r w:rsidRPr="35C6CFB3">
              <w:rPr>
                <w:rFonts w:ascii="Arial" w:hAnsi="Arial" w:cs="Arial"/>
                <w:color w:val="auto"/>
              </w:rPr>
              <w:t>Understood. Decontaminate and ensure staff have been tested and cleared.</w:t>
            </w:r>
          </w:p>
        </w:tc>
      </w:tr>
    </w:tbl>
    <w:p w:rsidR="003A7BC0" w:rsidP="002D55D5" w:rsidRDefault="001D7273" w14:paraId="681FEC59" w14:textId="146350A8">
      <w:pPr>
        <w:rPr>
          <w:rFonts w:ascii="Segoe UI" w:hAnsi="Segoe UI" w:eastAsia="Times New Roman" w:cs="Segoe UI"/>
          <w:sz w:val="21"/>
          <w:szCs w:val="21"/>
        </w:rPr>
      </w:pPr>
      <w:r w:rsidRPr="001D7273">
        <w:rPr>
          <w:rFonts w:ascii="Segoe UI" w:hAnsi="Segoe UI" w:eastAsia="Times New Roman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F6C7A" w:rsidR="001D7273" w:rsidP="001D7273" w:rsidRDefault="001D7273" w14:paraId="2F52C9DB" w14:textId="6BAA8F9B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:rsidRPr="007F6C7A" w:rsidR="001D7273" w:rsidP="001D7273" w:rsidRDefault="001D7273" w14:paraId="1616A22A" w14:textId="4F8EBBAE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Pr="007F6C7A" w:rsidR="001D7273" w:rsidP="001D7273" w:rsidRDefault="001D7273" w14:paraId="2628B05E" w14:textId="4EE6146E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rto="http://schemas.microsoft.com/office/word/2006/arto">
            <w:pict w14:anchorId="65B1BA50">
              <v:shapetype id="_x0000_t202" coordsize="21600,21600" o:spt="202" path="m,l,21600r21600,l21600,xe" w14:anchorId="4D63F5D9">
                <v:stroke joinstyle="miter"/>
                <v:path gradientshapeok="t" o:connecttype="rect"/>
              </v:shapetype>
              <v:shape id="Text Box 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>
                <v:textbox>
                  <w:txbxContent>
                    <w:p w:rsidRPr="007F6C7A" w:rsidR="001D7273" w:rsidP="001D7273" w:rsidRDefault="001D7273" w14:paraId="288530DE" w14:textId="6BAA8F9B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:rsidRPr="007F6C7A" w:rsidR="001D7273" w:rsidP="001D7273" w:rsidRDefault="001D7273" w14:paraId="0D412737" w14:textId="4F8EBBAE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Pr="007F6C7A" w:rsidR="001D7273" w:rsidP="001D7273" w:rsidRDefault="001D7273" w14:paraId="7A9CF2A0" w14:textId="4EE6146E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hAnsi="Arial" w:eastAsia="Times New Roman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D7273" w:rsidR="001D7273" w:rsidP="001D7273" w:rsidRDefault="001D7273" w14:paraId="08594508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rto="http://schemas.microsoft.com/office/word/2006/arto">
            <w:pict w14:anchorId="0EFE2AC4">
              <v:shape id="_x0000_s1027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w14:anchorId="6DCD795F">
                <v:textbox style="mso-fit-shape-to-text:t">
                  <w:txbxContent>
                    <w:p w:rsidRPr="001D7273" w:rsidR="001D7273" w:rsidP="001D7273" w:rsidRDefault="001D7273" w14:paraId="7E7E5A05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orient="portrait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10A" w:rsidRDefault="0079510A" w14:paraId="07D2CC8F" w14:textId="77777777">
      <w:r>
        <w:separator/>
      </w:r>
    </w:p>
  </w:endnote>
  <w:endnote w:type="continuationSeparator" w:id="0">
    <w:p w:rsidR="0079510A" w:rsidRDefault="0079510A" w14:paraId="019863FD" w14:textId="77777777">
      <w:r>
        <w:continuationSeparator/>
      </w:r>
    </w:p>
  </w:endnote>
  <w:endnote w:type="continuationNotice" w:id="1">
    <w:p w:rsidR="0079510A" w:rsidRDefault="0079510A" w14:paraId="1D4A59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F65AA9" w:rsidR="009D70A4" w:rsidP="0051568D" w:rsidRDefault="000E0970" w14:paraId="47EA1C95" w14:textId="03013EC8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17D21E">
      <w:rPr/>
      <w:t/>
    </w:r>
    <w:r w:rsidR="2B4A8BAE">
      <w:rPr/>
      <w:t/>
    </w:r>
    <w:r w:rsidR="1F31A2E8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291A88" w:rsidRDefault="002B189C" w14:paraId="31DCDE05" w14:textId="15AF1C7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B189C" w:rsidR="002B189C" w:rsidP="002B189C" w:rsidRDefault="002B189C" w14:paraId="00D0C7EE" w14:textId="3024CA46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77C34375">
            <v:shapetype id="_x0000_t202" coordsize="21600,21600" o:spt="202" path="m,l,21600r21600,l21600,xe" w14:anchorId="79E33D44">
              <v:stroke joinstyle="miter"/>
              <v:path gradientshapeok="t" o:connecttype="rect"/>
            </v:shapetype>
            <v:shape id="MSIPCM3c8c48e2b1fd19d1e6d75d72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368741547,&quot;Height&quot;:841.0,&quot;Width&quot;:595.0,&quot;Placement&quot;:&quot;Footer&quot;,&quot;Index&quot;:&quot;FirstPage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>
              <v:textbox inset=",0,,0">
                <w:txbxContent>
                  <w:p w:rsidRPr="002B189C" w:rsidR="002B189C" w:rsidP="002B189C" w:rsidRDefault="002B189C" w14:paraId="74CC57DE" w14:textId="3024CA46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1421" w:rsidR="009D70A4" w:rsidP="0051568D" w:rsidRDefault="00DE12CB" w14:paraId="7692E75F" w14:textId="4E67A004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alignment="right" w:relativeTo="margin" w:leader="none"/>
    </w:r>
    <w:r w:rsidRPr="00A11421" w:rsidR="009D70A4">
      <w:fldChar w:fldCharType="begin"/>
    </w:r>
    <w:r w:rsidRPr="00A11421" w:rsidR="009D70A4">
      <w:instrText xml:space="preserve"> PAGE </w:instrText>
    </w:r>
    <w:r w:rsidRPr="00A11421" w:rsidR="009D70A4">
      <w:fldChar w:fldCharType="separate"/>
    </w:r>
    <w:r w:rsidR="00833564">
      <w:rPr>
        <w:noProof/>
      </w:rPr>
      <w:t>6</w:t>
    </w:r>
    <w:r w:rsidRPr="00A11421" w:rsidR="009D70A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10A" w:rsidP="002862F1" w:rsidRDefault="0079510A" w14:paraId="3BB4502A" w14:textId="77777777">
      <w:pPr>
        <w:spacing w:before="120"/>
      </w:pPr>
      <w:r>
        <w:separator/>
      </w:r>
    </w:p>
  </w:footnote>
  <w:footnote w:type="continuationSeparator" w:id="0">
    <w:p w:rsidR="0079510A" w:rsidRDefault="0079510A" w14:paraId="7981A21A" w14:textId="77777777">
      <w:r>
        <w:continuationSeparator/>
      </w:r>
    </w:p>
  </w:footnote>
  <w:footnote w:type="continuationNotice" w:id="1">
    <w:p w:rsidR="0079510A" w:rsidRDefault="0079510A" w14:paraId="6B9AB5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568D" w:rsidR="009D70A4" w:rsidP="0051568D" w:rsidRDefault="009D70A4" w14:paraId="4C39A069" w14:textId="77777777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hint="default" w:ascii="Symbol" w:hAnsi="Symbol" w:eastAsia="Times" w:cs="Times New Roman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D56F1"/>
    <w:multiLevelType w:val="hybridMultilevel"/>
    <w:tmpl w:val="FFFFFFFF"/>
    <w:lvl w:ilvl="0" w:tplc="4D58A5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24F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820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2E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AC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76E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281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F45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0675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22"/>
  </w:num>
  <w:num w:numId="7">
    <w:abstractNumId w:val="1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0"/>
  </w:num>
  <w:num w:numId="17">
    <w:abstractNumId w:val="21"/>
  </w:num>
  <w:num w:numId="18">
    <w:abstractNumId w:val="0"/>
  </w:num>
  <w:num w:numId="19">
    <w:abstractNumId w:val="0"/>
  </w:num>
  <w:num w:numId="20">
    <w:abstractNumId w:val="0"/>
  </w:num>
  <w:num w:numId="21">
    <w:abstractNumId w:val="21"/>
  </w:num>
  <w:num w:numId="22">
    <w:abstractNumId w:val="21"/>
  </w:num>
  <w:num w:numId="23">
    <w:abstractNumId w:val="12"/>
  </w:num>
  <w:num w:numId="24">
    <w:abstractNumId w:val="21"/>
  </w:num>
  <w:num w:numId="25">
    <w:abstractNumId w:val="13"/>
  </w:num>
  <w:num w:numId="26">
    <w:abstractNumId w:val="17"/>
  </w:num>
  <w:num w:numId="27">
    <w:abstractNumId w:val="11"/>
  </w:num>
  <w:num w:numId="28">
    <w:abstractNumId w:val="16"/>
  </w:num>
  <w:num w:numId="29">
    <w:abstractNumId w:val="9"/>
  </w:num>
  <w:num w:numId="30">
    <w:abstractNumId w:val="5"/>
  </w:num>
  <w:num w:numId="31">
    <w:abstractNumId w:val="8"/>
  </w:num>
  <w:num w:numId="32">
    <w:abstractNumId w:val="10"/>
  </w:num>
  <w:num w:numId="3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4AD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06DD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0EB1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1F31A2E8"/>
    <w:rsid w:val="2B4A8BAE"/>
    <w:rsid w:val="35C6CFB3"/>
    <w:rsid w:val="4417D21E"/>
    <w:rsid w:val="559F46C4"/>
    <w:rsid w:val="563F3D73"/>
    <w:rsid w:val="70E5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48EB4C"/>
  <w15:docId w15:val="{48B4A58A-C84B-416F-89D0-622A04F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10" w:semiHidden="1" w:unhideWhenUsed="1"/>
    <w:lsdException w:name="footer" w:uiPriority="8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uiPriority w:val="11"/>
    <w:qFormat/>
    <w:rsid w:val="00374EAA"/>
    <w:rPr>
      <w:rFonts w:ascii="Calibri" w:hAnsi="Calibri" w:cs="Calibri" w:eastAsiaTheme="minorHAns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hAnsi="Arial" w:eastAsia="MS Gothic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hAnsi="Arial" w:eastAsia="MS Gothic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hAnsi="Arial" w:eastAsia="MS Mincho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HHSbody" w:customStyle="1">
    <w:name w:val="DHHS body"/>
    <w:link w:val="DHHSbodyChar"/>
    <w:qFormat/>
    <w:rsid w:val="00DE6028"/>
    <w:pPr>
      <w:spacing w:after="120" w:line="270" w:lineRule="atLeast"/>
    </w:pPr>
    <w:rPr>
      <w:rFonts w:ascii="Arial" w:hAnsi="Arial" w:eastAsia="Times"/>
      <w:lang w:eastAsia="en-US"/>
    </w:rPr>
  </w:style>
  <w:style w:type="character" w:styleId="Heading1Char" w:customStyle="1">
    <w:name w:val="Heading 1 Char"/>
    <w:link w:val="Heading1"/>
    <w:uiPriority w:val="1"/>
    <w:rsid w:val="00EA3010"/>
    <w:rPr>
      <w:rFonts w:ascii="Arial" w:hAnsi="Arial" w:eastAsia="MS Gothic" w:cs="Arial"/>
      <w:bCs/>
      <w:color w:val="201547"/>
      <w:kern w:val="32"/>
      <w:sz w:val="36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152073"/>
    <w:rPr>
      <w:rFonts w:ascii="Arial" w:hAnsi="Arial" w:eastAsia="MS Gothic"/>
      <w:b/>
      <w:bCs/>
      <w:sz w:val="24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EA3010"/>
    <w:rPr>
      <w:rFonts w:ascii="Arial" w:hAnsi="Arial" w:eastAsia="MS Mincho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HHStabletext6pt" w:customStyle="1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HHSbodynospace" w:customStyle="1">
    <w:name w:val="DHHS body no space"/>
    <w:basedOn w:val="DHHSbody"/>
    <w:uiPriority w:val="1"/>
    <w:rsid w:val="00F772C6"/>
    <w:pPr>
      <w:spacing w:after="0"/>
    </w:pPr>
  </w:style>
  <w:style w:type="paragraph" w:styleId="DHHSbullet1" w:customStyle="1">
    <w:name w:val="DHHS bullet 1"/>
    <w:basedOn w:val="DHHSbody"/>
    <w:qFormat/>
    <w:rsid w:val="008E7B49"/>
    <w:pPr>
      <w:numPr>
        <w:numId w:val="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styleId="Heading5Char" w:customStyle="1">
    <w:name w:val="Heading 5 Char"/>
    <w:link w:val="Heading5"/>
    <w:uiPriority w:val="9"/>
    <w:semiHidden/>
    <w:rsid w:val="00CF2F50"/>
    <w:rPr>
      <w:rFonts w:ascii="Cambria" w:hAnsi="Cambria" w:eastAsia="MS Mincho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DHHSTOCheadingfactsheet" w:customStyle="1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styleId="DHHSTOCheadingfactsheetChar" w:customStyle="1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styleId="DHHStabletext" w:customStyle="1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styleId="DHHStablecaption" w:customStyle="1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styleId="DHHSmainheading" w:customStyle="1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styleId="DHHSaccessibilitypara" w:customStyle="1">
    <w:name w:val="DHHS accessibility para"/>
    <w:uiPriority w:val="8"/>
    <w:rsid w:val="002B31D4"/>
    <w:pPr>
      <w:spacing w:before="400"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DHHSfigurecaption" w:customStyle="1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styleId="DHHSbullet2" w:customStyle="1">
    <w:name w:val="DHHS bullet 2"/>
    <w:basedOn w:val="DHHSbody"/>
    <w:uiPriority w:val="2"/>
    <w:qFormat/>
    <w:rsid w:val="008E7B49"/>
    <w:pPr>
      <w:numPr>
        <w:ilvl w:val="1"/>
        <w:numId w:val="4"/>
      </w:numPr>
      <w:spacing w:after="40"/>
    </w:pPr>
  </w:style>
  <w:style w:type="paragraph" w:styleId="DHHSbodyafterbullets" w:customStyle="1">
    <w:name w:val="DHHS body after bullets"/>
    <w:basedOn w:val="DHHSbody"/>
    <w:uiPriority w:val="11"/>
    <w:rsid w:val="00E11352"/>
    <w:pPr>
      <w:spacing w:before="120"/>
    </w:pPr>
  </w:style>
  <w:style w:type="paragraph" w:styleId="DHHStablebullet2" w:customStyle="1">
    <w:name w:val="DHHS table bullet 2"/>
    <w:basedOn w:val="DHHStabletext"/>
    <w:uiPriority w:val="11"/>
    <w:rsid w:val="008E7B49"/>
    <w:pPr>
      <w:numPr>
        <w:ilvl w:val="1"/>
        <w:numId w:val="5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DHHStablebullet1" w:customStyle="1">
    <w:name w:val="DHHS table bullet 1"/>
    <w:basedOn w:val="DHHStabletext"/>
    <w:uiPriority w:val="3"/>
    <w:qFormat/>
    <w:rsid w:val="008E7B49"/>
    <w:pPr>
      <w:numPr>
        <w:numId w:val="5"/>
      </w:numPr>
    </w:pPr>
  </w:style>
  <w:style w:type="numbering" w:styleId="ZZTablebullets" w:customStyle="1">
    <w:name w:val="ZZ Table bullets"/>
    <w:basedOn w:val="NoList"/>
    <w:rsid w:val="008E7B49"/>
    <w:pPr>
      <w:numPr>
        <w:numId w:val="5"/>
      </w:numPr>
    </w:pPr>
  </w:style>
  <w:style w:type="paragraph" w:styleId="DHHStablecolhead" w:customStyle="1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styleId="DHHSbulletafternumbers1" w:customStyle="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styleId="DHHSmainsubheading" w:customStyle="1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hAnsi="Arial" w:eastAsia="MS Gothic" w:cs="Arial"/>
      <w:sz w:val="16"/>
      <w:szCs w:val="16"/>
    </w:rPr>
  </w:style>
  <w:style w:type="character" w:styleId="FootnoteTextChar" w:customStyle="1">
    <w:name w:val="Footnote Text Char"/>
    <w:link w:val="FootnoteText"/>
    <w:uiPriority w:val="8"/>
    <w:rsid w:val="003F0445"/>
    <w:rPr>
      <w:rFonts w:ascii="Arial" w:hAnsi="Arial" w:eastAsia="MS Gothic" w:cs="Arial"/>
      <w:sz w:val="16"/>
      <w:szCs w:val="16"/>
      <w:lang w:eastAsia="en-US"/>
    </w:rPr>
  </w:style>
  <w:style w:type="paragraph" w:styleId="Spacerparatopoffirstpage" w:customStyle="1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8E7B49"/>
    <w:pPr>
      <w:numPr>
        <w:numId w:val="4"/>
      </w:numPr>
    </w:pPr>
  </w:style>
  <w:style w:type="numbering" w:styleId="ZZNumbersdigit" w:customStyle="1">
    <w:name w:val="ZZ Numbers digit"/>
    <w:rsid w:val="00F722FC"/>
    <w:pPr>
      <w:numPr>
        <w:numId w:val="2"/>
      </w:numPr>
    </w:pPr>
  </w:style>
  <w:style w:type="numbering" w:styleId="ZZQuotebullets" w:customStyle="1">
    <w:name w:val="ZZ Quote bullets"/>
    <w:basedOn w:val="ZZNumbersdigit"/>
    <w:rsid w:val="008E7B49"/>
    <w:pPr>
      <w:numPr>
        <w:numId w:val="6"/>
      </w:numPr>
    </w:pPr>
  </w:style>
  <w:style w:type="paragraph" w:styleId="DHHSnumberdigit" w:customStyle="1">
    <w:name w:val="DHHS number digit"/>
    <w:basedOn w:val="DHHSbody"/>
    <w:uiPriority w:val="2"/>
    <w:rsid w:val="00857C5A"/>
    <w:pPr>
      <w:numPr>
        <w:numId w:val="3"/>
      </w:numPr>
    </w:pPr>
  </w:style>
  <w:style w:type="paragraph" w:styleId="DHHSnumberloweralphaindent" w:customStyle="1">
    <w:name w:val="DHHS number lower alpha indent"/>
    <w:basedOn w:val="DHHSbody"/>
    <w:uiPriority w:val="3"/>
    <w:rsid w:val="00721CFB"/>
    <w:pPr>
      <w:numPr>
        <w:ilvl w:val="1"/>
        <w:numId w:val="9"/>
      </w:numPr>
    </w:pPr>
  </w:style>
  <w:style w:type="paragraph" w:styleId="DHHSnumberdigitindent" w:customStyle="1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styleId="DHHSnumberloweralpha" w:customStyle="1">
    <w:name w:val="DHHS number lower alpha"/>
    <w:basedOn w:val="DHHSbody"/>
    <w:uiPriority w:val="3"/>
    <w:rsid w:val="00721CFB"/>
    <w:pPr>
      <w:numPr>
        <w:numId w:val="9"/>
      </w:numPr>
    </w:pPr>
  </w:style>
  <w:style w:type="paragraph" w:styleId="DHHSnumberlowerroman" w:customStyle="1">
    <w:name w:val="DHHS number lower roman"/>
    <w:basedOn w:val="DHHSbody"/>
    <w:uiPriority w:val="3"/>
    <w:rsid w:val="00721CFB"/>
    <w:pPr>
      <w:numPr>
        <w:numId w:val="7"/>
      </w:numPr>
    </w:pPr>
  </w:style>
  <w:style w:type="paragraph" w:styleId="DHHSnumberlowerromanindent" w:customStyle="1">
    <w:name w:val="DHHS number lower roman indent"/>
    <w:basedOn w:val="DHHSbody"/>
    <w:uiPriority w:val="3"/>
    <w:rsid w:val="00721CFB"/>
    <w:pPr>
      <w:numPr>
        <w:ilvl w:val="1"/>
        <w:numId w:val="7"/>
      </w:numPr>
    </w:pPr>
  </w:style>
  <w:style w:type="paragraph" w:styleId="DHHSquote" w:customStyle="1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styleId="DHHStablefigurenote" w:customStyle="1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styleId="DHHSbodyaftertablefigure" w:customStyle="1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styleId="DHHSfooter" w:customStyle="1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styleId="DHHSheader" w:customStyle="1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styleId="DHHSbulletafternumbers2" w:customStyle="1">
    <w:name w:val="DHHS bullet after numbers 2"/>
    <w:basedOn w:val="DHHSbody"/>
    <w:rsid w:val="00F722FC"/>
    <w:pPr>
      <w:numPr>
        <w:ilvl w:val="3"/>
        <w:numId w:val="3"/>
      </w:numPr>
    </w:pPr>
  </w:style>
  <w:style w:type="numbering" w:styleId="ZZNumberslowerroman" w:customStyle="1">
    <w:name w:val="ZZ Numbers lower roman"/>
    <w:basedOn w:val="ZZQuotebullets"/>
    <w:rsid w:val="00721CFB"/>
    <w:pPr>
      <w:numPr>
        <w:numId w:val="7"/>
      </w:numPr>
    </w:pPr>
  </w:style>
  <w:style w:type="numbering" w:styleId="ZZNumbersloweralpha" w:customStyle="1">
    <w:name w:val="ZZ Numbers lower alpha"/>
    <w:basedOn w:val="NoList"/>
    <w:rsid w:val="00721CFB"/>
    <w:pPr>
      <w:numPr>
        <w:numId w:val="8"/>
      </w:numPr>
    </w:pPr>
  </w:style>
  <w:style w:type="paragraph" w:styleId="DHHSquotebullet1" w:customStyle="1">
    <w:name w:val="DHHS quote bullet 1"/>
    <w:basedOn w:val="DHHSquote"/>
    <w:rsid w:val="008E7B49"/>
    <w:pPr>
      <w:numPr>
        <w:numId w:val="6"/>
      </w:numPr>
    </w:pPr>
  </w:style>
  <w:style w:type="paragraph" w:styleId="DHHSquotebullet2" w:customStyle="1">
    <w:name w:val="DHHS quote bullet 2"/>
    <w:basedOn w:val="DHHSquote"/>
    <w:rsid w:val="008E7B49"/>
    <w:pPr>
      <w:numPr>
        <w:ilvl w:val="1"/>
        <w:numId w:val="6"/>
      </w:numPr>
    </w:pPr>
  </w:style>
  <w:style w:type="character" w:styleId="DHHSbodyChar" w:customStyle="1">
    <w:name w:val="DHHS body Char"/>
    <w:basedOn w:val="DefaultParagraphFont"/>
    <w:link w:val="DHHSbody"/>
    <w:rsid w:val="00F92813"/>
    <w:rPr>
      <w:rFonts w:ascii="Arial" w:hAnsi="Arial" w:eastAsia="Times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DF5"/>
    <w:rPr>
      <w:rFonts w:ascii="Segoe UI" w:hAnsi="Segoe UI" w:cs="Segoe UI" w:eastAsia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eastAsia="Times New Roman" w:cs="Times New Roman" w:asciiTheme="minorHAnsi" w:hAnsiTheme="minorHAns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hAnsi="Calibri" w:cs="Calibri" w:eastAsiaTheme="minorHAnsi"/>
      <w:b/>
      <w:bCs/>
      <w:lang w:eastAsia="en-AU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31AD"/>
    <w:rPr>
      <w:rFonts w:ascii="Calibri" w:hAnsi="Calibri" w:cs="Calibri" w:eastAsiaTheme="minorHAnsi"/>
      <w:b/>
      <w:bCs/>
      <w:lang w:eastAsia="en-US"/>
    </w:rPr>
  </w:style>
  <w:style w:type="character" w:styleId="UnresolvedMention2" w:customStyle="1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styleId="FooterChar" w:customStyle="1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10"/>
      </w:numPr>
      <w:spacing w:after="60"/>
    </w:pPr>
    <w:rPr>
      <w:rFonts w:ascii="Arial" w:hAnsi="Arial" w:eastAsia="Times New Roman" w:cs="Times New Roman"/>
      <w:color w:val="53565A"/>
      <w:sz w:val="18"/>
      <w:szCs w:val="20"/>
      <w:lang w:eastAsia="en-US"/>
    </w:rPr>
  </w:style>
  <w:style w:type="character" w:styleId="ListParagraphChar" w:customStyle="1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hAnsi="Calibri" w:cs="Calibri" w:eastAsiaTheme="minorHAns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eastAsia="Times New Roman" w:cs="Times New Roman" w:asciiTheme="minorHAnsi" w:hAnsiTheme="minorHAnsi"/>
      <w:color w:val="000000" w:themeColor="text1"/>
      <w:sz w:val="20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hAnsi="Calibri" w:cs="Calibri" w:eastAsiaTheme="minorHAnsi"/>
      <w:sz w:val="22"/>
      <w:szCs w:val="22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dhhs.vic.gov.au/preventing-infection-workplace-covid-19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8DC06-508A-43FE-8C7D-2CF834B83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2992-3877-4537-AD5A-87DD9C5C22ED}">
  <ds:schemaRefs>
    <ds:schemaRef ds:uri="http://schemas.microsoft.com/office/2006/documentManagement/types"/>
    <ds:schemaRef ds:uri="http://schemas.openxmlformats.org/package/2006/metadata/core-properties"/>
    <ds:schemaRef ds:uri="1ab89d87-4073-4f1c-85f3-5c65bdf24cb1"/>
    <ds:schemaRef ds:uri="http://purl.org/dc/elements/1.1/"/>
    <ds:schemaRef ds:uri="http://schemas.microsoft.com/office/2006/metadata/properties"/>
    <ds:schemaRef ds:uri="http://purl.org/dc/terms/"/>
    <ds:schemaRef ds:uri="ac8de15f-3115-42af-aacc-691ee84cf5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Department of Health and Human Services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Eleanor Lynch (DHHS)</dc:creator>
  <keywords/>
  <dc:description/>
  <lastModifiedBy>Guest User</lastModifiedBy>
  <revision>8</revision>
  <lastPrinted>2017-07-08T10:32:00.0000000Z</lastPrinted>
  <dcterms:created xsi:type="dcterms:W3CDTF">2020-08-05T01:24:00.0000000Z</dcterms:created>
  <dcterms:modified xsi:type="dcterms:W3CDTF">2020-08-07T01:42:11.6248670Z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